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Instructor</w:t>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Fitzgerald</w:t>
        <w:tab/>
        <w:tab/>
      </w:r>
      <w:hyperlink r:id="rId6">
        <w:r w:rsidDel="00000000" w:rsidR="00000000" w:rsidRPr="00000000">
          <w:rPr>
            <w:rFonts w:ascii="Calibri" w:cs="Calibri" w:eastAsia="Calibri" w:hAnsi="Calibri"/>
            <w:color w:val="1155cc"/>
            <w:sz w:val="24"/>
            <w:szCs w:val="24"/>
            <w:u w:val="single"/>
            <w:rtl w:val="0"/>
          </w:rPr>
          <w:t xml:space="preserve">bcfitzgerald@gcswarriors.org</w:t>
        </w:r>
      </w:hyperlink>
      <w:r w:rsidDel="00000000" w:rsidR="00000000" w:rsidRPr="00000000">
        <w:rPr>
          <w:rtl w:val="0"/>
        </w:rPr>
      </w:r>
    </w:p>
    <w:p w:rsidR="00000000" w:rsidDel="00000000" w:rsidP="00000000" w:rsidRDefault="00000000" w:rsidRPr="00000000" w14:paraId="00000005">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w:t>
      </w:r>
      <w:r w:rsidDel="00000000" w:rsidR="00000000" w:rsidRPr="00000000">
        <w:rPr>
          <w:rtl w:val="0"/>
        </w:rPr>
      </w:r>
    </w:p>
    <w:p w:rsidR="00000000" w:rsidDel="00000000" w:rsidP="00000000" w:rsidRDefault="00000000" w:rsidRPr="00000000" w14:paraId="00000008">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explore the riches of the Christian faith grounded in trinitarian theology and the incarnation of Jesus Christ by examining the biblical teaching regarding God, humanity, and creation. While exploring the implications of the biblical teaching on these topics, students will practice biblical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thinking as a lens through which to see and interpret a myriad of issues and questions including truth, reality, freedom, salvation, suffering, ethics, and more. Ultimately, the goal of this course is to help students understand, appreciate, and articulate the goodness of God and his purposes for their lives and our world.</w:t>
      </w: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Content &amp; Themes</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sectPr>
          <w:headerReference r:id="rId7" w:type="default"/>
          <w:headerReference r:id="rId8" w:type="first"/>
          <w:footerReference r:id="rId9" w:type="first"/>
          <w:pgSz w:h="15840" w:w="12240"/>
          <w:pgMar w:bottom="1440" w:top="1440" w:left="1440" w:right="1440" w:header="0" w:footer="720"/>
          <w:pgNumType w:start="1"/>
          <w:titlePg w:val="1"/>
        </w:sect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Q</w:t>
      </w:r>
      <w:r w:rsidDel="00000000" w:rsidR="00000000" w:rsidRPr="00000000">
        <w:rPr>
          <w:rFonts w:ascii="Calibri" w:cs="Calibri" w:eastAsia="Calibri" w:hAnsi="Calibri"/>
          <w:sz w:val="24"/>
          <w:szCs w:val="24"/>
          <w:rtl w:val="0"/>
        </w:rPr>
        <w:t xml:space="preserve">uarter</w:t>
      </w:r>
    </w:p>
    <w:p w:rsidR="00000000" w:rsidDel="00000000" w:rsidP="00000000" w:rsidRDefault="00000000" w:rsidRPr="00000000" w14:paraId="0000000F">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Truth</w:t>
      </w:r>
    </w:p>
    <w:p w:rsidR="00000000" w:rsidDel="00000000" w:rsidP="00000000" w:rsidRDefault="00000000" w:rsidRPr="00000000" w14:paraId="00000010">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Epistemology</w:t>
      </w:r>
    </w:p>
    <w:p w:rsidR="00000000" w:rsidDel="00000000" w:rsidP="00000000" w:rsidRDefault="00000000" w:rsidRPr="00000000" w14:paraId="00000011">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Reality</w:t>
      </w:r>
    </w:p>
    <w:p w:rsidR="00000000" w:rsidDel="00000000" w:rsidP="00000000" w:rsidRDefault="00000000" w:rsidRPr="00000000" w14:paraId="00000012">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Trinity</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Quarter</w:t>
      </w:r>
    </w:p>
    <w:p w:rsidR="00000000" w:rsidDel="00000000" w:rsidP="00000000" w:rsidRDefault="00000000" w:rsidRPr="00000000" w14:paraId="00000016">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Humanity</w:t>
      </w:r>
    </w:p>
    <w:p w:rsidR="00000000" w:rsidDel="00000000" w:rsidP="00000000" w:rsidRDefault="00000000" w:rsidRPr="00000000" w14:paraId="00000017">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Unity &amp; Diversity</w:t>
      </w:r>
    </w:p>
    <w:p w:rsidR="00000000" w:rsidDel="00000000" w:rsidP="00000000" w:rsidRDefault="00000000" w:rsidRPr="00000000" w14:paraId="00000018">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Sin</w:t>
      </w:r>
    </w:p>
    <w:p w:rsidR="00000000" w:rsidDel="00000000" w:rsidP="00000000" w:rsidRDefault="00000000" w:rsidRPr="00000000" w14:paraId="0000001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rtl w:val="0"/>
        </w:rPr>
        <w:t xml:space="preserve"> Quarter</w:t>
      </w:r>
    </w:p>
    <w:p w:rsidR="00000000" w:rsidDel="00000000" w:rsidP="00000000" w:rsidRDefault="00000000" w:rsidRPr="00000000" w14:paraId="0000001C">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Suffering</w:t>
      </w:r>
    </w:p>
    <w:p w:rsidR="00000000" w:rsidDel="00000000" w:rsidP="00000000" w:rsidRDefault="00000000" w:rsidRPr="00000000" w14:paraId="0000001D">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Incarnation</w:t>
      </w:r>
    </w:p>
    <w:p w:rsidR="00000000" w:rsidDel="00000000" w:rsidP="00000000" w:rsidRDefault="00000000" w:rsidRPr="00000000" w14:paraId="0000001E">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Crucifixion</w:t>
      </w:r>
    </w:p>
    <w:p w:rsidR="00000000" w:rsidDel="00000000" w:rsidP="00000000" w:rsidRDefault="00000000" w:rsidRPr="00000000" w14:paraId="0000001F">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Resurrection</w:t>
      </w:r>
    </w:p>
    <w:p w:rsidR="00000000" w:rsidDel="00000000" w:rsidP="00000000" w:rsidRDefault="00000000" w:rsidRPr="00000000" w14:paraId="0000002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Quarter </w:t>
      </w:r>
    </w:p>
    <w:p w:rsidR="00000000" w:rsidDel="00000000" w:rsidP="00000000" w:rsidRDefault="00000000" w:rsidRPr="00000000" w14:paraId="00000023">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Salvation</w:t>
      </w:r>
    </w:p>
    <w:p w:rsidR="00000000" w:rsidDel="00000000" w:rsidP="00000000" w:rsidRDefault="00000000" w:rsidRPr="00000000" w14:paraId="00000024">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Ascension</w:t>
      </w:r>
    </w:p>
    <w:p w:rsidR="00000000" w:rsidDel="00000000" w:rsidP="00000000" w:rsidRDefault="00000000" w:rsidRPr="00000000" w14:paraId="00000025">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Creation</w:t>
      </w:r>
    </w:p>
    <w:p w:rsidR="00000000" w:rsidDel="00000000" w:rsidP="00000000" w:rsidRDefault="00000000" w:rsidRPr="00000000" w14:paraId="00000026">
      <w:pPr>
        <w:ind w:left="720" w:firstLine="0"/>
        <w:rPr>
          <w:rFonts w:ascii="Calibri" w:cs="Calibri" w:eastAsia="Calibri" w:hAnsi="Calibri"/>
          <w:sz w:val="24"/>
          <w:szCs w:val="24"/>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Grading</w:t>
      </w: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numPr>
          <w:ilvl w:val="0"/>
          <w:numId w:val="1"/>
        </w:numPr>
        <w:spacing w:after="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Analysis Papers (33%) – Analyze a short passage of Scripture by going deep into the meaning of key terms, an overview of relevant cross-references, a final analysis representing critical and creative thinking, and concluding with a personal paraphrase of the verse.</w:t>
      </w:r>
    </w:p>
    <w:p w:rsidR="00000000" w:rsidDel="00000000" w:rsidP="00000000" w:rsidRDefault="00000000" w:rsidRPr="00000000" w14:paraId="0000002A">
      <w:pPr>
        <w:numPr>
          <w:ilvl w:val="0"/>
          <w:numId w:val="1"/>
        </w:numPr>
        <w:spacing w:after="200" w:before="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Tests (34%) – Tests, essays, and special assignments will be assigned throughout each quarter based on the books and topics being studied. Each quarter the students will put together and add to a “Senior Bible Notebook” consisting of notes, assignments, and materials from the course. This notebook is a weighted test grade each quarter.</w:t>
      </w:r>
    </w:p>
    <w:p w:rsidR="00000000" w:rsidDel="00000000" w:rsidP="00000000" w:rsidRDefault="00000000" w:rsidRPr="00000000" w14:paraId="0000002B">
      <w:pPr>
        <w:numPr>
          <w:ilvl w:val="0"/>
          <w:numId w:val="1"/>
        </w:numPr>
        <w:spacing w:after="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Memory Work (33%) – Weekly memorization of Bible verses, passages, or creeds. Throughout each quarter, students are expected to recall past passages from previous weeks as part of the current week’s memory work.</w:t>
      </w:r>
    </w:p>
    <w:p w:rsidR="00000000" w:rsidDel="00000000" w:rsidP="00000000" w:rsidRDefault="00000000" w:rsidRPr="00000000" w14:paraId="0000002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Materials</w:t>
      </w:r>
    </w:p>
    <w:p w:rsidR="00000000" w:rsidDel="00000000" w:rsidP="00000000" w:rsidRDefault="00000000" w:rsidRPr="00000000" w14:paraId="0000002F">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numPr>
          <w:ilvl w:val="0"/>
          <w:numId w:val="3"/>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Materials</w:t>
      </w:r>
    </w:p>
    <w:p w:rsidR="00000000" w:rsidDel="00000000" w:rsidP="00000000" w:rsidRDefault="00000000" w:rsidRPr="00000000" w14:paraId="00000031">
      <w:pPr>
        <w:numPr>
          <w:ilvl w:val="1"/>
          <w:numId w:val="3"/>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Subject Spiral Notebook (hole-punched)</w:t>
      </w:r>
    </w:p>
    <w:p w:rsidR="00000000" w:rsidDel="00000000" w:rsidP="00000000" w:rsidRDefault="00000000" w:rsidRPr="00000000" w14:paraId="00000032">
      <w:pPr>
        <w:numPr>
          <w:ilvl w:val="1"/>
          <w:numId w:val="3"/>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vertAlign w:val="superscript"/>
          <w:rtl w:val="0"/>
        </w:rPr>
        <w:t xml:space="preserve">1/2</w:t>
      </w:r>
      <w:r w:rsidDel="00000000" w:rsidR="00000000" w:rsidRPr="00000000">
        <w:rPr>
          <w:rFonts w:ascii="Calibri" w:cs="Calibri" w:eastAsia="Calibri" w:hAnsi="Calibri"/>
          <w:sz w:val="24"/>
          <w:szCs w:val="24"/>
          <w:rtl w:val="0"/>
        </w:rPr>
        <w:t xml:space="preserve"> in. 3-Ring Binder</w:t>
      </w:r>
    </w:p>
    <w:p w:rsidR="00000000" w:rsidDel="00000000" w:rsidP="00000000" w:rsidRDefault="00000000" w:rsidRPr="00000000" w14:paraId="00000033">
      <w:pPr>
        <w:numPr>
          <w:ilvl w:val="1"/>
          <w:numId w:val="3"/>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Dividers w/ Tabs</w:t>
      </w:r>
      <w:r w:rsidDel="00000000" w:rsidR="00000000" w:rsidRPr="00000000">
        <w:rPr>
          <w:rtl w:val="0"/>
        </w:rPr>
      </w:r>
    </w:p>
    <w:p w:rsidR="00000000" w:rsidDel="00000000" w:rsidP="00000000" w:rsidRDefault="00000000" w:rsidRPr="00000000" w14:paraId="00000034">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numPr>
          <w:ilvl w:val="0"/>
          <w:numId w:val="3"/>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Primary Texts</w:t>
      </w:r>
    </w:p>
    <w:p w:rsidR="00000000" w:rsidDel="00000000" w:rsidP="00000000" w:rsidRDefault="00000000" w:rsidRPr="00000000" w14:paraId="0000003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Bible</w:t>
      </w:r>
      <w:r w:rsidDel="00000000" w:rsidR="00000000" w:rsidRPr="00000000">
        <w:rPr>
          <w:rtl w:val="0"/>
        </w:rPr>
      </w:r>
    </w:p>
    <w:p w:rsidR="00000000" w:rsidDel="00000000" w:rsidP="00000000" w:rsidRDefault="00000000" w:rsidRPr="00000000" w14:paraId="0000003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Silence</w:t>
      </w:r>
      <w:r w:rsidDel="00000000" w:rsidR="00000000" w:rsidRPr="00000000">
        <w:rPr>
          <w:rFonts w:ascii="Calibri" w:cs="Calibri" w:eastAsia="Calibri" w:hAnsi="Calibri"/>
          <w:sz w:val="24"/>
          <w:szCs w:val="24"/>
          <w:rtl w:val="0"/>
        </w:rPr>
        <w:t xml:space="preserve">  by Shusakō Endō</w:t>
      </w:r>
    </w:p>
    <w:p w:rsidR="00000000" w:rsidDel="00000000" w:rsidP="00000000" w:rsidRDefault="00000000" w:rsidRPr="00000000" w14:paraId="00000038">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Night</w:t>
      </w:r>
      <w:r w:rsidDel="00000000" w:rsidR="00000000" w:rsidRPr="00000000">
        <w:rPr>
          <w:rFonts w:ascii="Calibri" w:cs="Calibri" w:eastAsia="Calibri" w:hAnsi="Calibri"/>
          <w:sz w:val="24"/>
          <w:szCs w:val="24"/>
          <w:rtl w:val="0"/>
        </w:rPr>
        <w:t xml:space="preserve">  by Elie Wiesel</w:t>
      </w:r>
    </w:p>
    <w:p w:rsidR="00000000" w:rsidDel="00000000" w:rsidP="00000000" w:rsidRDefault="00000000" w:rsidRPr="00000000" w14:paraId="0000003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On the Incarnation</w:t>
      </w:r>
      <w:r w:rsidDel="00000000" w:rsidR="00000000" w:rsidRPr="00000000">
        <w:rPr>
          <w:rFonts w:ascii="Calibri" w:cs="Calibri" w:eastAsia="Calibri" w:hAnsi="Calibri"/>
          <w:sz w:val="24"/>
          <w:szCs w:val="24"/>
          <w:rtl w:val="0"/>
        </w:rPr>
        <w:t xml:space="preserve">  by Athanasius (pending availability)</w:t>
      </w: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48"/>
        <w:szCs w:val="48"/>
        <w:rtl w:val="0"/>
      </w:rPr>
      <w:t xml:space="preserve">Senior Bible Syllabus</w:t>
    </w:r>
    <w:r w:rsidDel="00000000" w:rsidR="00000000" w:rsidRPr="00000000">
      <w:rPr>
        <w:rtl w:val="0"/>
      </w:rPr>
    </w:r>
  </w:p>
  <w:p w:rsidR="00000000" w:rsidDel="00000000" w:rsidP="00000000" w:rsidRDefault="00000000" w:rsidRPr="00000000" w14:paraId="0000003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2020-2021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fitzgerald@gcswarriors.org"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