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54"/>
          <w:szCs w:val="54"/>
        </w:rPr>
      </w:pPr>
      <w:r w:rsidDel="00000000" w:rsidR="00000000" w:rsidRPr="00000000">
        <w:rPr>
          <w:rFonts w:ascii="Arial" w:cs="Arial" w:eastAsia="Arial" w:hAnsi="Arial"/>
          <w:b w:val="1"/>
          <w:sz w:val="54"/>
          <w:szCs w:val="54"/>
          <w:rtl w:val="0"/>
        </w:rPr>
        <w:t xml:space="preserve">Grace Christian School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Latin I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Syllabus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GRADE: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                            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July 20, 2020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OVERVIEW: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Latin I</w:t>
      </w:r>
      <w:r w:rsidDel="00000000" w:rsidR="00000000" w:rsidRPr="00000000">
        <w:rPr>
          <w:rFonts w:ascii="Arial" w:cs="Arial" w:eastAsia="Arial" w:hAnsi="Arial"/>
          <w:rtl w:val="0"/>
        </w:rPr>
        <w:t xml:space="preserve"> is a language course that gives students a strong foundation in Latin vocabulary and grammar; English derivatives; and classical literature, history, and culture.  This course foundationally prepares students for learning other foreign languages and provides excellent preparation for the SAT.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BASIC TEXT(S):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Latin for the New Millennium Level 1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Milena Minkova and Terence Tunberg: Bolchazy-Carducci Publishers, Inc., ©2019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MAJOR TOPICS AND SKILLS: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FIRST QUARTER: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Alphabet and pronunciation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Readings: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Romulus and Remus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The Menaechmi Twins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 Plautus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Two Brothers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by Terence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Parts of speech, nouns: number, gender, case; first declension nouns; nominative and accusative cases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First and second conjugation verbs; principal parts; properties of verbs: number, person, tense, stem; infinitive; subject and verb agreementSecond declension masculine –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us, -er, -ir;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genitive and vocative cases; prepositional phrases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Overview of Roman history and early literature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Classical gods: Mars, Jupiter, Juno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Ancient world: Slavery in ancient Rome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Roman Comedy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Phrases and quotation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SECOND QUARTER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Readings: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The Deserter Wants a Reward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by Cicero,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Cicero Writes to Terentia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 Cicero,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The Druids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 Caesar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Second declension neuter nouns; dative case; first and second declension –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us, -a,  -um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adjectives; agreement of nouns and adjectives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First and second conjugation verbs: present passive tense, present passive infinitive; ablative of agent; first and second declension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–er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adjectives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Present tense and present infinitive of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sum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 possum;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complementary infinitive; transitive and intransitive verbs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Classical gods: Neptune, Pluto, Vesta, and Ceres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Ancient world: Roman marriage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Roman families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Phrases, mottos, and abbreviations in the 21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century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THIRD QUARTER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288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ReadingS: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My Girl’s Sparrow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 Catullus,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Themistocles Saves the Greeks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 Nepos,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The Catilinarian Conspiracy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 Sallust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288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Third declension masculine and feminine nouns; indirect statement: accusative and infinitive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288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Third conjugation verbs: present active and passive tense, present active and passive infinitive; ablatives of manner, instrument, separation, place; accusative of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288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Fourth conjugation verbs: present active and passive tense, present active and passive infinitive; third declension neuter nouns; third declension I-stem nouns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288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Classical Gods: Apollo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288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Ancient World: Roman attire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Roman government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288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Phrases and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mottos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relating to government and democracy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FOURTH QUARTER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288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Reading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s: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The Trojan Horse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by Veril,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Queen Dido of Carthage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by Vergil,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Mucius Scaevola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 Livy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288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Third conjugation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–io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verbs: present active and passive tense, present active and passive infinitive; third declension adjectives; substantive adjective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288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Imperfect active and passive tense of all conjugations; imperfect tense of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sum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 possum;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encliti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cs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288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First, second, and third person personal pronouns; first and second person possessive adjectives; declension of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vis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288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Classical gods: Mercury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288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Ancient world: Roman food,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yth of the Trojan horse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288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Phrases and quotations relating to war and peace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first"/>
      <w:footerReference r:id="rId7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288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288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288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288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288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288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288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288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